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EB" w:rsidRPr="00CE1CEB" w:rsidRDefault="00CE1CEB" w:rsidP="00CE1CEB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Информационен ден по</w:t>
      </w:r>
      <w:r w:rsidRPr="00CE1CEB">
        <w:rPr>
          <w:rFonts w:ascii="Segoe UI" w:eastAsia="Times New Roman" w:hAnsi="Segoe UI" w:cs="Segoe UI"/>
          <w:i/>
          <w:iCs/>
          <w:color w:val="1C4269"/>
          <w:sz w:val="26"/>
          <w:szCs w:val="26"/>
          <w:lang w:val="bg-BG" w:eastAsia="bg-BG"/>
        </w:rPr>
        <w:t> </w:t>
      </w:r>
      <w:r w:rsidRPr="00CE1CEB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Програма за транснационално сътрудничество</w:t>
      </w:r>
    </w:p>
    <w:p w:rsidR="00CE1CEB" w:rsidRPr="00CE1CEB" w:rsidRDefault="00CE1CEB" w:rsidP="00CE1CEB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b/>
          <w:bCs/>
          <w:i/>
          <w:iCs/>
          <w:color w:val="1C4269"/>
          <w:sz w:val="26"/>
          <w:szCs w:val="26"/>
          <w:lang w:val="bg-BG" w:eastAsia="bg-BG"/>
        </w:rPr>
        <w:t> „Балкани – Средиземно море" 2014-2020</w:t>
      </w:r>
    </w:p>
    <w:p w:rsidR="00CE1CEB" w:rsidRPr="00CE1CEB" w:rsidRDefault="00CE1CEB" w:rsidP="00CE1CEB">
      <w:pPr>
        <w:spacing w:after="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CE1CEB">
        <w:rPr>
          <w:rFonts w:ascii="Segoe UI" w:eastAsia="Times New Roman" w:hAnsi="Segoe UI" w:cs="Segoe UI"/>
          <w:noProof/>
          <w:color w:val="1C4269"/>
          <w:sz w:val="20"/>
          <w:szCs w:val="20"/>
          <w:lang w:val="bg-BG" w:eastAsia="bg-BG"/>
        </w:rPr>
        <w:drawing>
          <wp:inline distT="0" distB="0" distL="0" distR="0">
            <wp:extent cx="6181725" cy="3624036"/>
            <wp:effectExtent l="0" t="0" r="0" b="0"/>
            <wp:docPr id="2" name="Picture 2" descr="107872a93336230ab4a03447fd6d8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872a93336230ab4a03447fd6d8a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51" cy="36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CEB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На 11 февруари 2016 г. в гр. София, Бест Уестърн Хотел Експо се проведе  национален информационен ден по Програмата за транснационално сътрудничество "Балкани-Средиземно море" 2014-2020 г, организиран съвместно от Главна дирекция „Управление на териториалното сътрудничество", Министерствата</w:t>
      </w:r>
      <w:bookmarkStart w:id="0" w:name="_GoBack"/>
      <w:bookmarkEnd w:id="0"/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 xml:space="preserve"> на регионалното развитие и благоустройството (МРРБ) и Управляващия орган на програмата - Министерство на икономиката, развитието и туризма на Гърция.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Географският обхват на програмата за транснационално сътрудничество „Балкани – Средиземно море" 2014-2020 г. включва участието на три държави-членки на ЕС: Гърция, Кипър и България и две държави кандидат-членки на ЕС: Албания и Македония. Програма „Балкани – Средиземно море"  включва  две приоритетни оси през програмния период 2014-2020: Предприемачество и иновации и Околна среда.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br/>
        <w:t>Програмата позволява на публичните органи и организации с нестопанска цел да осъществяват дейности за подобряване и насърчаване на сътрудничеството, обмяна на опит и добри практики в съответствие с приоритетите на Европа 2020 за интелигентен, устойчив и приобщаващ растеж.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lastRenderedPageBreak/>
        <w:t xml:space="preserve">Първата покана за проектни предложения по програмата за транснационално сътрудничество </w:t>
      </w:r>
      <w:proofErr w:type="spellStart"/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Интеррег</w:t>
      </w:r>
      <w:proofErr w:type="spellEnd"/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-V-Б „Балкани-Средиземно море" 2014-2020 г. 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(</w:t>
      </w:r>
      <w:proofErr w:type="spellStart"/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BalkanMed</w:t>
      </w:r>
      <w:proofErr w:type="spellEnd"/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)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e публикувана на 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16 декември 2015 г.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Общият бюджет на поканата възлиза на 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20 132 788 евро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, от които 17 112 870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 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евро са средствата от ЕС (от Европейския фонд за регионално развитие и от Инструмента за предприсъединителна помощ), а останалите 3 019 918 евро са осигурени от националното съфинансиране на държавите-участнички в програмата.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Крайният срок за подаване на проектни предложения е 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u w:val="single"/>
          <w:lang w:val="bg-BG" w:eastAsia="bg-BG"/>
        </w:rPr>
        <w:t>15 април 2016 г.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По първата покана са отворени за кандидатстване и двете приоритетни оси: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u w:val="single"/>
          <w:lang w:val="el-GR" w:eastAsia="bg-BG"/>
        </w:rPr>
        <w:t>Приоритетна ос 1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„Предприемачество и иновации" (с предвиден бюджет от 7 793 338 евро) и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u w:val="single"/>
          <w:lang w:val="bg-BG" w:eastAsia="bg-BG"/>
        </w:rPr>
        <w:t>П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u w:val="single"/>
          <w:lang w:val="el-GR" w:eastAsia="bg-BG"/>
        </w:rPr>
        <w:t>риоритетна ос 2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„Околна среда" (с предвиден бюджет от 12 339 450 евро)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Проектите трябва да включват </w:t>
      </w:r>
      <w:r w:rsidRPr="00CE1CEB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партньори от поне три страни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от общо петте държави-участнички (Гърция; България; Кипър; Албания и Бивша Югославска Република Македония).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Бюджетът на проектите по Приоритетна ос 1 може да варира от 500 000 евро до 1 000 000 евро, а по Приоритетна ос 2 - от 500 000 евро до 1 500 000 евро.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Допълнителна информация във връзка с поканата и подаването на проектни предложения,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hyperlink r:id="rId5" w:history="1"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https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://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sites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.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google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.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com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/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site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/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interregbalkanmed</w:t>
        </w:r>
        <w:proofErr w:type="spellEnd"/>
      </w:hyperlink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и</w:t>
      </w:r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hyperlink r:id="rId6" w:history="1">
        <w:r w:rsidRPr="00CE1CEB">
          <w:rPr>
            <w:rFonts w:ascii="Segoe UI" w:eastAsia="Times New Roman" w:hAnsi="Segoe UI" w:cs="Segoe UI"/>
            <w:color w:val="59753D"/>
            <w:sz w:val="26"/>
            <w:szCs w:val="26"/>
            <w:lang w:val="bg-BG" w:eastAsia="bg-BG"/>
          </w:rPr>
          <w:t>http</w:t>
        </w:r>
      </w:hyperlink>
      <w:hyperlink r:id="rId7" w:history="1"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://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www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.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interreg</w:t>
        </w:r>
        <w:proofErr w:type="spellEnd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.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gr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/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en</w:t>
        </w:r>
        <w:proofErr w:type="spellEnd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/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programmes</w:t>
        </w:r>
        <w:proofErr w:type="spellEnd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/2012-05-11-09-00-08/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balkan</w:t>
        </w:r>
        <w:proofErr w:type="spellEnd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-</w:t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mediterranean</w:t>
        </w:r>
        <w:proofErr w:type="spellEnd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bg-BG" w:eastAsia="bg-BG"/>
          </w:rPr>
          <w:t>.</w:t>
        </w:r>
        <w:r w:rsidRPr="00CE1CEB">
          <w:rPr>
            <w:rFonts w:ascii="Segoe UI" w:eastAsia="Times New Roman" w:hAnsi="Segoe UI" w:cs="Segoe UI"/>
            <w:color w:val="59753D"/>
            <w:sz w:val="26"/>
            <w:szCs w:val="26"/>
            <w:u w:val="single"/>
            <w:lang w:val="en-US" w:eastAsia="bg-BG"/>
          </w:rPr>
          <w:t>html</w:t>
        </w:r>
      </w:hyperlink>
    </w:p>
    <w:p w:rsidR="00CE1CEB" w:rsidRPr="00CE1CEB" w:rsidRDefault="00CE1CEB" w:rsidP="00CE1CEB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</w:pPr>
      <w:r w:rsidRPr="00CE1CEB">
        <w:rPr>
          <w:rFonts w:ascii="Segoe UI" w:eastAsia="Times New Roman" w:hAnsi="Segoe UI" w:cs="Segoe UI"/>
          <w:b/>
          <w:bCs/>
          <w:i/>
          <w:iCs/>
          <w:color w:val="1C4269"/>
          <w:lang w:val="bg-BG" w:eastAsia="bg-BG"/>
        </w:rPr>
        <w:t>Презентации от информационния ден:</w:t>
      </w:r>
      <w:r w:rsidRPr="00CE1CEB">
        <w:rPr>
          <w:rFonts w:ascii="Segoe UI" w:eastAsia="Times New Roman" w:hAnsi="Segoe UI" w:cs="Segoe UI"/>
          <w:color w:val="1C4269"/>
          <w:sz w:val="26"/>
          <w:szCs w:val="26"/>
          <w:lang w:val="bg-BG" w:eastAsia="bg-BG"/>
        </w:rPr>
        <w:t> </w:t>
      </w:r>
      <w:hyperlink r:id="rId8" w:history="1">
        <w:r w:rsidRPr="00CE1CEB">
          <w:rPr>
            <w:rFonts w:ascii="Segoe UI" w:eastAsia="Times New Roman" w:hAnsi="Segoe UI" w:cs="Segoe UI"/>
            <w:noProof/>
            <w:color w:val="59753D"/>
            <w:sz w:val="26"/>
            <w:szCs w:val="26"/>
            <w:lang w:val="bg-BG" w:eastAsia="bg-BG"/>
          </w:rPr>
          <w:drawing>
            <wp:inline distT="0" distB="0" distL="0" distR="0">
              <wp:extent cx="152400" cy="152400"/>
              <wp:effectExtent l="0" t="0" r="0" b="0"/>
              <wp:docPr id="1" name="Picture 1" descr="https://www.uni-ruse.bg/_layouts/15/images/icgen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uni-ruse.bg/_layouts/15/images/icgen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CE1CEB">
          <w:rPr>
            <w:rFonts w:ascii="Segoe UI" w:eastAsia="Times New Roman" w:hAnsi="Segoe UI" w:cs="Segoe UI"/>
            <w:color w:val="59753D"/>
            <w:sz w:val="26"/>
            <w:szCs w:val="26"/>
            <w:lang w:val="bg-BG" w:eastAsia="bg-BG"/>
          </w:rPr>
          <w:t>Distribute.rar</w:t>
        </w:r>
        <w:proofErr w:type="spellEnd"/>
      </w:hyperlink>
    </w:p>
    <w:p w:rsidR="00E472D3" w:rsidRDefault="00CE1CEB"/>
    <w:sectPr w:rsidR="00E472D3" w:rsidSect="00CE1C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EB"/>
    <w:rsid w:val="0070138A"/>
    <w:rsid w:val="00C2428F"/>
    <w:rsid w:val="00CE1CEB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0D436-834D-4AF4-9CDF-D29D045D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CE1CEB"/>
    <w:rPr>
      <w:b/>
      <w:bCs/>
    </w:rPr>
  </w:style>
  <w:style w:type="character" w:styleId="Emphasis">
    <w:name w:val="Emphasis"/>
    <w:basedOn w:val="DefaultParagraphFont"/>
    <w:uiPriority w:val="20"/>
    <w:qFormat/>
    <w:rsid w:val="00CE1C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SiteAssets/Distribute.rar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interreg.gr/en/programmes/2012-05-11-09-00-08/balkan-mediterranean.html%d0%9f%d1%80%d0%b5%d0%b7%d0%b5%d0%bd%d1%82%d0%b0%d1%86%d0%b8%d0%b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reg.gr/en/programmes/2012-05-11-09-00-08/balkan-mediterrane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site/interregbalkanmed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TZ5HWECJZ27U-7-75</_dlc_DocId>
    <_dlc_DocIdUrl xmlns="03018842-667b-43b7-b3a8-873e095a590a">
      <Url>https://www.uni-ruse.bg/international/_layouts/15/DocIdRedir.aspx?ID=TZ5HWECJZ27U-7-75</Url>
      <Description>TZ5HWECJZ27U-7-75</Description>
    </_dlc_DocIdUrl>
  </documentManagement>
</p:properties>
</file>

<file path=customXml/itemProps1.xml><?xml version="1.0" encoding="utf-8"?>
<ds:datastoreItem xmlns:ds="http://schemas.openxmlformats.org/officeDocument/2006/customXml" ds:itemID="{C8081B31-5494-4005-A45F-C52A5B396075}"/>
</file>

<file path=customXml/itemProps2.xml><?xml version="1.0" encoding="utf-8"?>
<ds:datastoreItem xmlns:ds="http://schemas.openxmlformats.org/officeDocument/2006/customXml" ds:itemID="{DA5286F2-F74D-4E66-84B0-2DDEA899C95D}"/>
</file>

<file path=customXml/itemProps3.xml><?xml version="1.0" encoding="utf-8"?>
<ds:datastoreItem xmlns:ds="http://schemas.openxmlformats.org/officeDocument/2006/customXml" ds:itemID="{EF0B0206-3E83-44D3-B8F0-873A0BC14E07}"/>
</file>

<file path=customXml/itemProps4.xml><?xml version="1.0" encoding="utf-8"?>
<ds:datastoreItem xmlns:ds="http://schemas.openxmlformats.org/officeDocument/2006/customXml" ds:itemID="{4E2250DF-81EE-46DD-B66E-043931DFA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2021-02-04T14:46:00Z</dcterms:created>
  <dcterms:modified xsi:type="dcterms:W3CDTF">2021-02-04T14:49:00Z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a5341faa-fc8e-4aab-aea0-1f50e07feee4</vt:lpwstr>
  </property>
</Properties>
</file>